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920F1">
      <w:pPr>
        <w:pStyle w:val="12"/>
        <w:spacing w:line="580" w:lineRule="exact"/>
        <w:ind w:firstLine="0" w:firstLineChars="0"/>
        <w:rPr>
          <w:rFonts w:hint="default" w:ascii="Times New Roman" w:hAnsi="Times New Roman" w:eastAsia="黑体" w:cs="Times New Roman"/>
          <w:color w:val="auto"/>
          <w:sz w:val="32"/>
          <w:szCs w:val="32"/>
          <w:highlight w:val="none"/>
        </w:rPr>
      </w:pPr>
      <w:bookmarkStart w:id="0" w:name="E.3 单位工程招标控制价／投标报价汇总表(表-04-1)一般计税【交警大队硬化"/>
      <w:bookmarkEnd w:id="0"/>
      <w:bookmarkStart w:id="1" w:name="第1页"/>
      <w:bookmarkEnd w:id="1"/>
      <w:r>
        <w:rPr>
          <w:rFonts w:hint="default" w:ascii="Times New Roman" w:hAnsi="Times New Roman" w:eastAsia="黑体" w:cs="Times New Roman"/>
          <w:color w:val="auto"/>
          <w:sz w:val="32"/>
          <w:szCs w:val="32"/>
          <w:highlight w:val="none"/>
        </w:rPr>
        <w:t>附件1</w:t>
      </w:r>
    </w:p>
    <w:p w14:paraId="1C256E15">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14:paraId="3F001AFD">
      <w:pPr>
        <w:pStyle w:val="3"/>
        <w:spacing w:before="6"/>
        <w:rPr>
          <w:rFonts w:hint="default" w:ascii="Times New Roman" w:hAnsi="Times New Roman" w:eastAsia="仿宋_GB2312" w:cs="Times New Roman"/>
          <w:b/>
          <w:color w:val="auto"/>
          <w:sz w:val="32"/>
          <w:szCs w:val="32"/>
        </w:rPr>
      </w:pPr>
    </w:p>
    <w:p w14:paraId="09ACCA0B">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51B34F82">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5972201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36E15F50">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14:paraId="56B2DBD4">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14:paraId="3E0D0102">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1C11DDCC">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14:paraId="725D64E9">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14:paraId="51BD7271">
      <w:pPr>
        <w:pStyle w:val="3"/>
        <w:spacing w:before="7"/>
        <w:rPr>
          <w:rFonts w:hint="default" w:ascii="Times New Roman" w:hAnsi="Times New Roman" w:eastAsia="仿宋_GB2312" w:cs="Times New Roman"/>
          <w:color w:val="auto"/>
          <w:sz w:val="32"/>
          <w:szCs w:val="32"/>
        </w:rPr>
      </w:pPr>
    </w:p>
    <w:p w14:paraId="415B69BE">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14:paraId="3E2B998E">
      <w:pPr>
        <w:pStyle w:val="3"/>
        <w:rPr>
          <w:rFonts w:hint="default" w:ascii="Times New Roman" w:hAnsi="Times New Roman" w:eastAsia="仿宋_GB2312" w:cs="Times New Roman"/>
          <w:color w:val="auto"/>
          <w:sz w:val="32"/>
          <w:szCs w:val="32"/>
        </w:rPr>
      </w:pPr>
    </w:p>
    <w:p w14:paraId="042AE945">
      <w:pPr>
        <w:tabs>
          <w:tab w:val="left" w:pos="6968"/>
        </w:tabs>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投标单位名称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14:paraId="3F475FCE">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14:paraId="20288B1B">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00B93FA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570718F6">
      <w:pPr>
        <w:pStyle w:val="12"/>
        <w:spacing w:line="580" w:lineRule="exact"/>
        <w:ind w:firstLine="0" w:firstLineChars="0"/>
        <w:rPr>
          <w:rFonts w:hint="default" w:ascii="Times New Roman" w:hAnsi="Times New Roman" w:eastAsia="仿宋" w:cs="Times New Roman"/>
          <w:color w:val="auto"/>
          <w:sz w:val="32"/>
          <w:szCs w:val="32"/>
          <w:highlight w:val="none"/>
        </w:rPr>
      </w:pPr>
    </w:p>
    <w:p w14:paraId="6A35010F">
      <w:pPr>
        <w:pStyle w:val="12"/>
        <w:spacing w:line="580" w:lineRule="exact"/>
        <w:ind w:firstLine="0" w:firstLineChars="0"/>
        <w:rPr>
          <w:rFonts w:hint="default" w:ascii="Times New Roman" w:hAnsi="Times New Roman" w:eastAsia="黑体" w:cs="Times New Roman"/>
          <w:color w:val="auto"/>
          <w:sz w:val="32"/>
          <w:szCs w:val="32"/>
          <w:highlight w:val="none"/>
        </w:rPr>
      </w:pPr>
    </w:p>
    <w:p w14:paraId="7781316E">
      <w:pPr>
        <w:pStyle w:val="12"/>
        <w:spacing w:line="580" w:lineRule="exact"/>
        <w:ind w:firstLine="0" w:firstLineChars="0"/>
        <w:rPr>
          <w:rFonts w:hint="default" w:ascii="Times New Roman" w:hAnsi="Times New Roman" w:eastAsia="黑体" w:cs="Times New Roman"/>
          <w:color w:val="auto"/>
          <w:sz w:val="32"/>
          <w:szCs w:val="32"/>
          <w:highlight w:val="none"/>
        </w:rPr>
      </w:pPr>
    </w:p>
    <w:p w14:paraId="0935772A">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3982181C">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14:paraId="38F8C452">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14:paraId="27A47F58">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6131F57F">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color w:val="auto"/>
          <w:sz w:val="24"/>
          <w:szCs w:val="24"/>
          <w:highlight w:val="none"/>
        </w:rPr>
        <w:t>郑重承诺：</w:t>
      </w:r>
    </w:p>
    <w:p w14:paraId="45F6596D">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2665BEC3">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13CFF0AA">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493E96FB">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投标单位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14:paraId="27B0DFF7">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13103FC4">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40965C18">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627973B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2102FD60">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051151A">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bCs/>
          <w:color w:val="auto"/>
          <w:sz w:val="24"/>
          <w:szCs w:val="24"/>
          <w:highlight w:val="none"/>
          <w:lang w:val="zh-CN"/>
        </w:rPr>
        <w:t>。</w:t>
      </w:r>
    </w:p>
    <w:p w14:paraId="294CD61C">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5F0C2AD0">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5632280B">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投标单位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404E9D54">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396EFEEB">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2137A2E9">
      <w:pPr>
        <w:rPr>
          <w:rFonts w:hint="default"/>
          <w:color w:val="FF0000"/>
          <w:lang w:val="en-US"/>
        </w:rPr>
        <w:sectPr>
          <w:headerReference r:id="rId3" w:type="default"/>
          <w:footerReference r:id="rId4" w:type="default"/>
          <w:pgSz w:w="11906" w:h="16838"/>
          <w:pgMar w:top="1474" w:right="1077" w:bottom="1361" w:left="1191" w:header="851" w:footer="1701" w:gutter="0"/>
          <w:pgNumType w:fmt="decimal"/>
          <w:cols w:space="0" w:num="1"/>
          <w:rtlGutter w:val="0"/>
          <w:docGrid w:type="lines" w:linePitch="312" w:charSpace="0"/>
        </w:sectPr>
      </w:pPr>
    </w:p>
    <w:p w14:paraId="0958FC63">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34EB6375">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14:paraId="315ED9EC">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14:paraId="17A2F8C3">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项目名称：蓬溪县吉祥镇宜居生活·和美乡村建设项目设计施工总承包</w:t>
      </w:r>
      <w:r>
        <w:rPr>
          <w:rFonts w:hint="eastAsia" w:ascii="Times New Roman" w:hAnsi="Times New Roman" w:eastAsia="仿宋" w:cs="Times New Roman"/>
          <w:color w:val="auto"/>
          <w:kern w:val="2"/>
          <w:sz w:val="24"/>
          <w:szCs w:val="24"/>
          <w:lang w:val="en-US" w:eastAsia="zh-CN" w:bidi="ar-SA"/>
        </w:rPr>
        <w:t>履约保证金保函或保险开具</w:t>
      </w:r>
      <w:r>
        <w:rPr>
          <w:rFonts w:hint="default" w:ascii="Times New Roman" w:hAnsi="Times New Roman" w:eastAsia="仿宋" w:cs="Times New Roman"/>
          <w:color w:val="auto"/>
          <w:kern w:val="2"/>
          <w:sz w:val="24"/>
          <w:szCs w:val="24"/>
          <w:lang w:val="en-US" w:eastAsia="zh-CN" w:bidi="ar-SA"/>
        </w:rPr>
        <w:t>。</w:t>
      </w:r>
    </w:p>
    <w:p w14:paraId="4896223F">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w:t>
      </w:r>
      <w:r>
        <w:rPr>
          <w:rFonts w:hint="eastAsia" w:ascii="Times New Roman" w:hAnsi="Times New Roman" w:eastAsia="仿宋" w:cs="Times New Roman"/>
          <w:color w:val="auto"/>
          <w:kern w:val="2"/>
          <w:sz w:val="24"/>
          <w:szCs w:val="24"/>
          <w:lang w:val="en-US" w:eastAsia="zh-CN" w:bidi="ar-SA"/>
        </w:rPr>
        <w:t>富泰盛安</w:t>
      </w:r>
      <w:r>
        <w:rPr>
          <w:rFonts w:hint="default" w:ascii="Times New Roman" w:hAnsi="Times New Roman" w:eastAsia="仿宋" w:cs="Times New Roman"/>
          <w:color w:val="auto"/>
          <w:kern w:val="2"/>
          <w:sz w:val="24"/>
          <w:szCs w:val="24"/>
          <w:lang w:val="en-US" w:eastAsia="zh-CN" w:bidi="ar-SA"/>
        </w:rPr>
        <w:t>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14:paraId="1814E7BA">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14:paraId="1E77A852">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14:paraId="4EE1BE33">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10"/>
        <w:tblpPr w:leftFromText="180" w:rightFromText="180" w:vertAnchor="text" w:horzAnchor="page" w:tblpXSpec="center" w:tblpY="122"/>
        <w:tblOverlap w:val="never"/>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1173"/>
        <w:gridCol w:w="2387"/>
        <w:gridCol w:w="2440"/>
        <w:gridCol w:w="1240"/>
      </w:tblGrid>
      <w:tr w14:paraId="5A6B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09" w:type="dxa"/>
            <w:vAlign w:val="center"/>
          </w:tcPr>
          <w:p w14:paraId="0EE629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14:paraId="785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14:paraId="1331CA3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1173" w:type="dxa"/>
            <w:vAlign w:val="center"/>
          </w:tcPr>
          <w:p w14:paraId="18953A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暂定数量（单位：项）</w:t>
            </w:r>
          </w:p>
        </w:tc>
        <w:tc>
          <w:tcPr>
            <w:tcW w:w="2387" w:type="dxa"/>
            <w:vAlign w:val="center"/>
          </w:tcPr>
          <w:p w14:paraId="2B0CD2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14:paraId="11BD95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440" w:type="dxa"/>
            <w:vAlign w:val="center"/>
          </w:tcPr>
          <w:p w14:paraId="0FE17B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240" w:type="dxa"/>
            <w:vAlign w:val="center"/>
          </w:tcPr>
          <w:p w14:paraId="252363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14:paraId="2BE2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47AEC000">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14:paraId="51ED53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lang w:val="en-US" w:eastAsia="zh-CN" w:bidi="ar-SA"/>
              </w:rPr>
              <w:t>蓬溪县吉祥镇宜居生活·和美乡村建设项目设计施工总承包</w:t>
            </w:r>
            <w:r>
              <w:rPr>
                <w:rFonts w:hint="eastAsia" w:ascii="Times New Roman" w:hAnsi="Times New Roman" w:eastAsia="仿宋" w:cs="Times New Roman"/>
                <w:color w:val="auto"/>
                <w:kern w:val="2"/>
                <w:sz w:val="24"/>
                <w:szCs w:val="24"/>
                <w:highlight w:val="none"/>
                <w:lang w:val="en-US" w:eastAsia="zh-CN" w:bidi="ar-SA"/>
              </w:rPr>
              <w:t>履约保证金保函或保险开具</w:t>
            </w:r>
          </w:p>
        </w:tc>
        <w:tc>
          <w:tcPr>
            <w:tcW w:w="4521" w:type="dxa"/>
            <w:vAlign w:val="center"/>
          </w:tcPr>
          <w:p w14:paraId="463359AA">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保证担保内容：按照建设项目工程总承包合同的约定，采购人应当向业主缴纳的履约保证金，由投标单位为采购人向业主开具《履约保函或保险》予以代替。</w:t>
            </w:r>
          </w:p>
          <w:p w14:paraId="3538DEA6">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签约合同金额：97341219.60元。</w:t>
            </w:r>
          </w:p>
          <w:p w14:paraId="668FC95C">
            <w:pPr>
              <w:pStyle w:val="8"/>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保证期限：工程开工之日起至工程竣工验收合格之日，合同工期720日历天；</w:t>
            </w:r>
          </w:p>
          <w:p w14:paraId="15272A6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ighlight w:val="none"/>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bookmarkStart w:id="2" w:name="_GoBack"/>
            <w:bookmarkEnd w:id="2"/>
            <w:r>
              <w:rPr>
                <w:rFonts w:hint="eastAsia" w:ascii="Times New Roman" w:hAnsi="Times New Roman" w:eastAsia="仿宋" w:cs="Times New Roman"/>
                <w:color w:val="auto"/>
                <w:kern w:val="2"/>
                <w:sz w:val="24"/>
                <w:szCs w:val="24"/>
                <w:highlight w:val="none"/>
                <w:lang w:val="en-US" w:eastAsia="zh-CN" w:bidi="ar-SA"/>
              </w:rPr>
              <w:t>；</w:t>
            </w:r>
          </w:p>
          <w:p w14:paraId="3ED882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color w:val="auto"/>
                <w:highlight w:val="yellow"/>
                <w:lang w:val="en-US" w:eastAsia="zh-CN"/>
              </w:rPr>
            </w:pPr>
            <w:r>
              <w:rPr>
                <w:rFonts w:hint="eastAsia" w:ascii="Times New Roman" w:hAnsi="Times New Roman" w:eastAsia="仿宋" w:cs="Times New Roman"/>
                <w:color w:val="auto"/>
                <w:kern w:val="2"/>
                <w:sz w:val="24"/>
                <w:szCs w:val="24"/>
                <w:highlight w:val="none"/>
                <w:lang w:val="en-US" w:eastAsia="zh-CN" w:bidi="ar-SA"/>
              </w:rPr>
              <w:t>5、关于履约保证金保函或保险开具的其他因素以建设项目工程总承包合同约定为准；</w:t>
            </w:r>
          </w:p>
        </w:tc>
        <w:tc>
          <w:tcPr>
            <w:tcW w:w="1173" w:type="dxa"/>
            <w:vAlign w:val="center"/>
          </w:tcPr>
          <w:p w14:paraId="6DD2A385">
            <w:pPr>
              <w:bidi w:val="0"/>
              <w:jc w:val="center"/>
              <w:rPr>
                <w:rFonts w:hint="default" w:ascii="Times New Roman" w:hAnsi="Times New Roman" w:eastAsia="仿宋" w:cs="Times New Roman"/>
                <w:color w:val="auto"/>
                <w:kern w:val="2"/>
                <w:sz w:val="24"/>
                <w:szCs w:val="24"/>
                <w:highlight w:val="yellow"/>
                <w:lang w:val="en-US" w:eastAsia="zh-CN" w:bidi="ar-SA"/>
              </w:rPr>
            </w:pPr>
            <w:r>
              <w:rPr>
                <w:rFonts w:hint="eastAsia" w:ascii="Times New Roman" w:hAnsi="Times New Roman" w:eastAsia="仿宋" w:cs="Times New Roman"/>
                <w:color w:val="auto"/>
                <w:kern w:val="2"/>
                <w:sz w:val="24"/>
                <w:szCs w:val="24"/>
                <w:highlight w:val="none"/>
                <w:lang w:val="en-US" w:eastAsia="zh-CN" w:bidi="ar-SA"/>
              </w:rPr>
              <w:t>1</w:t>
            </w:r>
          </w:p>
        </w:tc>
        <w:tc>
          <w:tcPr>
            <w:tcW w:w="2387" w:type="dxa"/>
            <w:vAlign w:val="center"/>
          </w:tcPr>
          <w:p w14:paraId="44ED24F7">
            <w:pPr>
              <w:bidi w:val="0"/>
              <w:jc w:val="center"/>
              <w:rPr>
                <w:rFonts w:hint="default" w:ascii="Times New Roman" w:hAnsi="Times New Roman" w:eastAsia="仿宋" w:cs="Times New Roman"/>
                <w:color w:val="auto"/>
                <w:kern w:val="2"/>
                <w:sz w:val="24"/>
                <w:szCs w:val="24"/>
                <w:highlight w:val="yellow"/>
                <w:lang w:val="en-US" w:eastAsia="zh-CN" w:bidi="ar-SA"/>
              </w:rPr>
            </w:pPr>
          </w:p>
        </w:tc>
        <w:tc>
          <w:tcPr>
            <w:tcW w:w="2440" w:type="dxa"/>
            <w:vAlign w:val="center"/>
          </w:tcPr>
          <w:p w14:paraId="15965C0F">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240" w:type="dxa"/>
            <w:vAlign w:val="center"/>
          </w:tcPr>
          <w:p w14:paraId="5349F7CB">
            <w:pPr>
              <w:bidi w:val="0"/>
              <w:jc w:val="center"/>
              <w:rPr>
                <w:rFonts w:hint="default" w:ascii="Times New Roman" w:hAnsi="Times New Roman" w:eastAsia="仿宋" w:cs="Times New Roman"/>
                <w:color w:val="FF0000"/>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保函开具日期以采购人确定日期为准</w:t>
            </w:r>
          </w:p>
        </w:tc>
      </w:tr>
      <w:tr w14:paraId="2C9E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055A4A06">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14:paraId="3F1A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0" w:type="dxa"/>
            <w:gridSpan w:val="7"/>
            <w:vAlign w:val="center"/>
          </w:tcPr>
          <w:p w14:paraId="43430BC3">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14:paraId="49E0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990" w:type="dxa"/>
            <w:gridSpan w:val="7"/>
            <w:vAlign w:val="center"/>
          </w:tcPr>
          <w:p w14:paraId="03083774">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14:paraId="676625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14:paraId="1F40364A">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提供本项目履约保函或保险</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14:paraId="7328C5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14:paraId="114849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14:paraId="746EACA3">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投标单位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14:paraId="44FDFB5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14:paraId="03B4BCB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14:paraId="7827CD16">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2D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3B79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73B79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FA2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E8535">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2E8535">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4605">
    <w:pPr>
      <w:pStyle w:val="6"/>
    </w:pPr>
  </w:p>
  <w:p w14:paraId="7C31CBA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19CE4210"/>
    <w:rsid w:val="23F90792"/>
    <w:rsid w:val="244A10B4"/>
    <w:rsid w:val="2A414E3D"/>
    <w:rsid w:val="30FD3054"/>
    <w:rsid w:val="32A61CB5"/>
    <w:rsid w:val="32AA2E28"/>
    <w:rsid w:val="338665EA"/>
    <w:rsid w:val="33EB256E"/>
    <w:rsid w:val="3C633EE7"/>
    <w:rsid w:val="3C8E678D"/>
    <w:rsid w:val="3FE429C6"/>
    <w:rsid w:val="4874678D"/>
    <w:rsid w:val="48C44DFE"/>
    <w:rsid w:val="4C125ACC"/>
    <w:rsid w:val="4DB678D8"/>
    <w:rsid w:val="59F92B72"/>
    <w:rsid w:val="5FB716A4"/>
    <w:rsid w:val="60E03D35"/>
    <w:rsid w:val="6449399F"/>
    <w:rsid w:val="666A48A8"/>
    <w:rsid w:val="69C04704"/>
    <w:rsid w:val="73EF708B"/>
    <w:rsid w:val="7A6510DB"/>
    <w:rsid w:val="EFB1EEF9"/>
    <w:rsid w:val="F7FF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1374</Words>
  <Characters>1399</Characters>
  <Lines>0</Lines>
  <Paragraphs>0</Paragraphs>
  <TotalTime>6</TotalTime>
  <ScaleCrop>false</ScaleCrop>
  <LinksUpToDate>false</LinksUpToDate>
  <CharactersWithSpaces>2894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何晓龙</cp:lastModifiedBy>
  <cp:lastPrinted>2024-12-07T02:36:00Z</cp:lastPrinted>
  <dcterms:modified xsi:type="dcterms:W3CDTF">2025-08-22T06:56:20Z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eyJoZGlkIjoiNzQ4YjExODllMTkzMjIyMDJlNmUzN2EzNTMxZDM1N2UiLCJ1c2VySWQiOiI1NDYyODkzMTUifQ==</vt:lpwstr>
  </property>
</Properties>
</file>